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08E9" w14:textId="77777777" w:rsidR="00C70C20" w:rsidRDefault="00000000">
      <w:pPr>
        <w:spacing w:after="40"/>
        <w:jc w:val="center"/>
      </w:pPr>
      <w:r>
        <w:rPr>
          <w:b/>
          <w:color w:val="003366"/>
          <w:sz w:val="36"/>
        </w:rPr>
        <w:t>CHILD IN NEED INSTITUTE (CINI)</w:t>
      </w:r>
    </w:p>
    <w:p w14:paraId="3EB9B95F" w14:textId="77777777" w:rsidR="00C70C20" w:rsidRDefault="00000000">
      <w:pPr>
        <w:pBdr>
          <w:bottom w:val="single" w:sz="18" w:space="4" w:color="003366"/>
        </w:pBdr>
        <w:spacing w:after="360"/>
        <w:jc w:val="center"/>
      </w:pPr>
      <w:r>
        <w:rPr>
          <w:b/>
          <w:color w:val="B40000"/>
          <w:sz w:val="28"/>
        </w:rPr>
        <w:t>URGENT VACANCY</w:t>
      </w:r>
    </w:p>
    <w:tbl>
      <w:tblPr>
        <w:tblW w:w="0" w:type="auto"/>
        <w:tblLayout w:type="fixed"/>
        <w:tblLook w:val="04A0" w:firstRow="1" w:lastRow="0" w:firstColumn="1" w:lastColumn="0" w:noHBand="0" w:noVBand="1"/>
      </w:tblPr>
      <w:tblGrid>
        <w:gridCol w:w="4680"/>
        <w:gridCol w:w="6192"/>
      </w:tblGrid>
      <w:tr w:rsidR="00C70C20" w14:paraId="3E4EC6F0" w14:textId="77777777">
        <w:tc>
          <w:tcPr>
            <w:tcW w:w="4680" w:type="dxa"/>
            <w:shd w:val="clear" w:color="auto" w:fill="003366"/>
            <w:tcMar>
              <w:top w:w="120" w:type="dxa"/>
              <w:left w:w="150" w:type="dxa"/>
              <w:bottom w:w="120" w:type="dxa"/>
              <w:right w:w="150" w:type="dxa"/>
            </w:tcMar>
          </w:tcPr>
          <w:p w14:paraId="76094C8C" w14:textId="77777777" w:rsidR="00C70C20" w:rsidRDefault="00000000">
            <w:r>
              <w:rPr>
                <w:b/>
                <w:color w:val="FFFFFF"/>
                <w:sz w:val="20"/>
              </w:rPr>
              <w:t>Particulars</w:t>
            </w:r>
          </w:p>
        </w:tc>
        <w:tc>
          <w:tcPr>
            <w:tcW w:w="4680" w:type="dxa"/>
            <w:shd w:val="clear" w:color="auto" w:fill="003366"/>
            <w:tcMar>
              <w:top w:w="120" w:type="dxa"/>
              <w:left w:w="150" w:type="dxa"/>
              <w:bottom w:w="120" w:type="dxa"/>
              <w:right w:w="150" w:type="dxa"/>
            </w:tcMar>
          </w:tcPr>
          <w:p w14:paraId="5DCA8B4C" w14:textId="77777777" w:rsidR="00C70C20" w:rsidRDefault="00000000">
            <w:r>
              <w:rPr>
                <w:b/>
                <w:color w:val="FFFFFF"/>
                <w:sz w:val="20"/>
              </w:rPr>
              <w:t>Details</w:t>
            </w:r>
          </w:p>
        </w:tc>
      </w:tr>
      <w:tr w:rsidR="00C70C20" w14:paraId="15759E50" w14:textId="77777777">
        <w:tc>
          <w:tcPr>
            <w:tcW w:w="3168" w:type="dxa"/>
            <w:shd w:val="clear" w:color="auto" w:fill="F2F5F8"/>
            <w:tcMar>
              <w:top w:w="100" w:type="dxa"/>
              <w:left w:w="150" w:type="dxa"/>
              <w:bottom w:w="100" w:type="dxa"/>
              <w:right w:w="150" w:type="dxa"/>
            </w:tcMar>
          </w:tcPr>
          <w:p w14:paraId="6F32C757" w14:textId="77777777" w:rsidR="00C70C20" w:rsidRDefault="00000000">
            <w:r>
              <w:rPr>
                <w:b/>
                <w:color w:val="666666"/>
                <w:sz w:val="20"/>
              </w:rPr>
              <w:t>Position</w:t>
            </w:r>
          </w:p>
        </w:tc>
        <w:tc>
          <w:tcPr>
            <w:tcW w:w="6192" w:type="dxa"/>
            <w:shd w:val="clear" w:color="auto" w:fill="F2F5F8"/>
            <w:tcMar>
              <w:top w:w="100" w:type="dxa"/>
              <w:left w:w="150" w:type="dxa"/>
              <w:bottom w:w="100" w:type="dxa"/>
              <w:right w:w="150" w:type="dxa"/>
            </w:tcMar>
          </w:tcPr>
          <w:p w14:paraId="0A1652DD" w14:textId="77777777" w:rsidR="00C70C20" w:rsidRDefault="00000000">
            <w:r>
              <w:rPr>
                <w:sz w:val="20"/>
              </w:rPr>
              <w:t>Learning Facilitator</w:t>
            </w:r>
          </w:p>
        </w:tc>
      </w:tr>
      <w:tr w:rsidR="00C70C20" w14:paraId="1905454E" w14:textId="77777777">
        <w:tc>
          <w:tcPr>
            <w:tcW w:w="3168" w:type="dxa"/>
            <w:shd w:val="clear" w:color="auto" w:fill="FFFFFF"/>
            <w:tcMar>
              <w:top w:w="100" w:type="dxa"/>
              <w:left w:w="150" w:type="dxa"/>
              <w:bottom w:w="100" w:type="dxa"/>
              <w:right w:w="150" w:type="dxa"/>
            </w:tcMar>
          </w:tcPr>
          <w:p w14:paraId="5C47151D" w14:textId="77777777" w:rsidR="00C70C20" w:rsidRDefault="00000000">
            <w:r>
              <w:rPr>
                <w:b/>
                <w:color w:val="666666"/>
                <w:sz w:val="20"/>
              </w:rPr>
              <w:t>Place of Work / Location</w:t>
            </w:r>
          </w:p>
        </w:tc>
        <w:tc>
          <w:tcPr>
            <w:tcW w:w="6192" w:type="dxa"/>
            <w:shd w:val="clear" w:color="auto" w:fill="FFFFFF"/>
            <w:tcMar>
              <w:top w:w="100" w:type="dxa"/>
              <w:left w:w="150" w:type="dxa"/>
              <w:bottom w:w="100" w:type="dxa"/>
              <w:right w:w="150" w:type="dxa"/>
            </w:tcMar>
          </w:tcPr>
          <w:p w14:paraId="2E01E043" w14:textId="77777777" w:rsidR="00C70C20" w:rsidRDefault="00000000">
            <w:r>
              <w:rPr>
                <w:sz w:val="20"/>
              </w:rPr>
              <w:t xml:space="preserve">Tripura (5 Facilitators per district across </w:t>
            </w:r>
            <w:proofErr w:type="spellStart"/>
            <w:r>
              <w:rPr>
                <w:sz w:val="20"/>
              </w:rPr>
              <w:t>Dhalai</w:t>
            </w:r>
            <w:proofErr w:type="spellEnd"/>
            <w:r>
              <w:rPr>
                <w:sz w:val="20"/>
              </w:rPr>
              <w:t xml:space="preserve">, North Tripura, </w:t>
            </w:r>
            <w:proofErr w:type="spellStart"/>
            <w:r>
              <w:rPr>
                <w:sz w:val="20"/>
              </w:rPr>
              <w:t>Khowai</w:t>
            </w:r>
            <w:proofErr w:type="spellEnd"/>
            <w:r>
              <w:rPr>
                <w:sz w:val="20"/>
              </w:rPr>
              <w:t>, and Gomati)</w:t>
            </w:r>
          </w:p>
        </w:tc>
      </w:tr>
      <w:tr w:rsidR="00C70C20" w14:paraId="7BEE3389" w14:textId="77777777">
        <w:tc>
          <w:tcPr>
            <w:tcW w:w="3168" w:type="dxa"/>
            <w:shd w:val="clear" w:color="auto" w:fill="F2F5F8"/>
            <w:tcMar>
              <w:top w:w="100" w:type="dxa"/>
              <w:left w:w="150" w:type="dxa"/>
              <w:bottom w:w="100" w:type="dxa"/>
              <w:right w:w="150" w:type="dxa"/>
            </w:tcMar>
          </w:tcPr>
          <w:p w14:paraId="7A408871" w14:textId="77777777" w:rsidR="00C70C20" w:rsidRDefault="00000000">
            <w:r>
              <w:rPr>
                <w:b/>
                <w:color w:val="666666"/>
                <w:sz w:val="20"/>
              </w:rPr>
              <w:t>Reporting To</w:t>
            </w:r>
          </w:p>
        </w:tc>
        <w:tc>
          <w:tcPr>
            <w:tcW w:w="6192" w:type="dxa"/>
            <w:shd w:val="clear" w:color="auto" w:fill="F2F5F8"/>
            <w:tcMar>
              <w:top w:w="100" w:type="dxa"/>
              <w:left w:w="150" w:type="dxa"/>
              <w:bottom w:w="100" w:type="dxa"/>
              <w:right w:w="150" w:type="dxa"/>
            </w:tcMar>
          </w:tcPr>
          <w:p w14:paraId="18BF3F5B" w14:textId="77777777" w:rsidR="00C70C20" w:rsidRDefault="00000000">
            <w:r>
              <w:rPr>
                <w:sz w:val="20"/>
              </w:rPr>
              <w:t>Project Coordinator – Tripura</w:t>
            </w:r>
          </w:p>
        </w:tc>
      </w:tr>
      <w:tr w:rsidR="00C70C20" w14:paraId="2EDF12DF" w14:textId="77777777">
        <w:tc>
          <w:tcPr>
            <w:tcW w:w="3168" w:type="dxa"/>
            <w:shd w:val="clear" w:color="auto" w:fill="FFFFFF"/>
            <w:tcMar>
              <w:top w:w="100" w:type="dxa"/>
              <w:left w:w="150" w:type="dxa"/>
              <w:bottom w:w="100" w:type="dxa"/>
              <w:right w:w="150" w:type="dxa"/>
            </w:tcMar>
          </w:tcPr>
          <w:p w14:paraId="7C3C18C9" w14:textId="77777777" w:rsidR="00C70C20" w:rsidRDefault="00000000">
            <w:r>
              <w:rPr>
                <w:b/>
                <w:color w:val="666666"/>
                <w:sz w:val="20"/>
              </w:rPr>
              <w:t>Department / Division</w:t>
            </w:r>
          </w:p>
        </w:tc>
        <w:tc>
          <w:tcPr>
            <w:tcW w:w="6192" w:type="dxa"/>
            <w:shd w:val="clear" w:color="auto" w:fill="FFFFFF"/>
            <w:tcMar>
              <w:top w:w="100" w:type="dxa"/>
              <w:left w:w="150" w:type="dxa"/>
              <w:bottom w:w="100" w:type="dxa"/>
              <w:right w:w="150" w:type="dxa"/>
            </w:tcMar>
          </w:tcPr>
          <w:p w14:paraId="288FC757" w14:textId="77777777" w:rsidR="00C70C20" w:rsidRDefault="00000000">
            <w:r>
              <w:rPr>
                <w:sz w:val="20"/>
              </w:rPr>
              <w:t>Adolescent Resource Centre (ARC)</w:t>
            </w:r>
          </w:p>
        </w:tc>
      </w:tr>
      <w:tr w:rsidR="00C70C20" w14:paraId="7F14E935" w14:textId="77777777">
        <w:tc>
          <w:tcPr>
            <w:tcW w:w="3168" w:type="dxa"/>
            <w:shd w:val="clear" w:color="auto" w:fill="F2F5F8"/>
            <w:tcMar>
              <w:top w:w="100" w:type="dxa"/>
              <w:left w:w="150" w:type="dxa"/>
              <w:bottom w:w="100" w:type="dxa"/>
              <w:right w:w="150" w:type="dxa"/>
            </w:tcMar>
          </w:tcPr>
          <w:p w14:paraId="3EE3CCAE" w14:textId="77777777" w:rsidR="00C70C20" w:rsidRDefault="00000000">
            <w:r>
              <w:rPr>
                <w:b/>
                <w:color w:val="666666"/>
                <w:sz w:val="20"/>
              </w:rPr>
              <w:t>No. of Vacancies</w:t>
            </w:r>
          </w:p>
        </w:tc>
        <w:tc>
          <w:tcPr>
            <w:tcW w:w="6192" w:type="dxa"/>
            <w:shd w:val="clear" w:color="auto" w:fill="F2F5F8"/>
            <w:tcMar>
              <w:top w:w="100" w:type="dxa"/>
              <w:left w:w="150" w:type="dxa"/>
              <w:bottom w:w="100" w:type="dxa"/>
              <w:right w:w="150" w:type="dxa"/>
            </w:tcMar>
          </w:tcPr>
          <w:p w14:paraId="442FF69E" w14:textId="77777777" w:rsidR="00C70C20" w:rsidRDefault="00000000">
            <w:r>
              <w:rPr>
                <w:sz w:val="20"/>
              </w:rPr>
              <w:t>20 (Twenty) Total — 5 positions per district</w:t>
            </w:r>
          </w:p>
        </w:tc>
      </w:tr>
      <w:tr w:rsidR="00C70C20" w14:paraId="20C3D869" w14:textId="77777777">
        <w:tc>
          <w:tcPr>
            <w:tcW w:w="3168" w:type="dxa"/>
            <w:shd w:val="clear" w:color="auto" w:fill="FFFFFF"/>
            <w:tcMar>
              <w:top w:w="100" w:type="dxa"/>
              <w:left w:w="150" w:type="dxa"/>
              <w:bottom w:w="100" w:type="dxa"/>
              <w:right w:w="150" w:type="dxa"/>
            </w:tcMar>
          </w:tcPr>
          <w:p w14:paraId="60437FFA" w14:textId="77777777" w:rsidR="00C70C20" w:rsidRDefault="00000000">
            <w:r>
              <w:rPr>
                <w:b/>
                <w:color w:val="666666"/>
                <w:sz w:val="20"/>
              </w:rPr>
              <w:t>Project/Programme</w:t>
            </w:r>
          </w:p>
        </w:tc>
        <w:tc>
          <w:tcPr>
            <w:tcW w:w="6192" w:type="dxa"/>
            <w:shd w:val="clear" w:color="auto" w:fill="FFFFFF"/>
            <w:tcMar>
              <w:top w:w="100" w:type="dxa"/>
              <w:left w:w="150" w:type="dxa"/>
              <w:bottom w:w="100" w:type="dxa"/>
              <w:right w:w="150" w:type="dxa"/>
            </w:tcMar>
          </w:tcPr>
          <w:p w14:paraId="18917F0D" w14:textId="77777777" w:rsidR="00C70C20" w:rsidRDefault="00000000">
            <w:r>
              <w:rPr>
                <w:sz w:val="20"/>
              </w:rPr>
              <w:t>Transforming Aspirations to Opportunities for Adolescent Girls &amp; Young Women (Supported by Salesforce)</w:t>
            </w:r>
          </w:p>
        </w:tc>
      </w:tr>
      <w:tr w:rsidR="00C70C20" w14:paraId="45BC9AC2" w14:textId="77777777">
        <w:tc>
          <w:tcPr>
            <w:tcW w:w="3168" w:type="dxa"/>
            <w:shd w:val="clear" w:color="auto" w:fill="F2F5F8"/>
            <w:tcMar>
              <w:top w:w="100" w:type="dxa"/>
              <w:left w:w="150" w:type="dxa"/>
              <w:bottom w:w="100" w:type="dxa"/>
              <w:right w:w="150" w:type="dxa"/>
            </w:tcMar>
          </w:tcPr>
          <w:p w14:paraId="145200F3" w14:textId="77777777" w:rsidR="00C70C20" w:rsidRDefault="00000000">
            <w:r>
              <w:rPr>
                <w:b/>
                <w:color w:val="666666"/>
                <w:sz w:val="20"/>
              </w:rPr>
              <w:t>Employment Type &amp; Period</w:t>
            </w:r>
          </w:p>
        </w:tc>
        <w:tc>
          <w:tcPr>
            <w:tcW w:w="6192" w:type="dxa"/>
            <w:shd w:val="clear" w:color="auto" w:fill="F2F5F8"/>
            <w:tcMar>
              <w:top w:w="100" w:type="dxa"/>
              <w:left w:w="150" w:type="dxa"/>
              <w:bottom w:w="100" w:type="dxa"/>
              <w:right w:w="150" w:type="dxa"/>
            </w:tcMar>
          </w:tcPr>
          <w:p w14:paraId="28FB24B9" w14:textId="77777777" w:rsidR="00C70C20" w:rsidRDefault="00000000">
            <w:r>
              <w:rPr>
                <w:sz w:val="20"/>
              </w:rPr>
              <w:t>Consultant Basis; 6 Months (1st July to 31st December, renewable based on performance)</w:t>
            </w:r>
          </w:p>
        </w:tc>
      </w:tr>
      <w:tr w:rsidR="00C70C20" w14:paraId="375E7DA8" w14:textId="77777777">
        <w:tc>
          <w:tcPr>
            <w:tcW w:w="3168" w:type="dxa"/>
            <w:shd w:val="clear" w:color="auto" w:fill="FFFFFF"/>
            <w:tcMar>
              <w:top w:w="100" w:type="dxa"/>
              <w:left w:w="150" w:type="dxa"/>
              <w:bottom w:w="100" w:type="dxa"/>
              <w:right w:w="150" w:type="dxa"/>
            </w:tcMar>
          </w:tcPr>
          <w:p w14:paraId="6F89DE3D" w14:textId="77777777" w:rsidR="00C70C20" w:rsidRDefault="00000000">
            <w:r>
              <w:rPr>
                <w:b/>
                <w:color w:val="666666"/>
                <w:sz w:val="20"/>
              </w:rPr>
              <w:t>Consolidated Honorarium</w:t>
            </w:r>
          </w:p>
        </w:tc>
        <w:tc>
          <w:tcPr>
            <w:tcW w:w="6192" w:type="dxa"/>
            <w:shd w:val="clear" w:color="auto" w:fill="FFFFFF"/>
            <w:tcMar>
              <w:top w:w="100" w:type="dxa"/>
              <w:left w:w="150" w:type="dxa"/>
              <w:bottom w:w="100" w:type="dxa"/>
              <w:right w:w="150" w:type="dxa"/>
            </w:tcMar>
          </w:tcPr>
          <w:p w14:paraId="171FBB3B" w14:textId="77777777" w:rsidR="00C70C20" w:rsidRDefault="00000000">
            <w:r>
              <w:rPr>
                <w:sz w:val="20"/>
              </w:rPr>
              <w:t>Rs. 12,000/- per month</w:t>
            </w:r>
          </w:p>
        </w:tc>
      </w:tr>
    </w:tbl>
    <w:p w14:paraId="3F076ADA" w14:textId="77777777" w:rsidR="00C70C20" w:rsidRDefault="00C70C20">
      <w:pPr>
        <w:spacing w:after="240"/>
      </w:pPr>
    </w:p>
    <w:p w14:paraId="1A9AF85A" w14:textId="77777777" w:rsidR="00C70C20" w:rsidRDefault="00000000">
      <w:pPr>
        <w:pBdr>
          <w:bottom w:val="single" w:sz="6" w:space="4" w:color="CCCCCC"/>
        </w:pBdr>
        <w:spacing w:before="240" w:after="120"/>
      </w:pPr>
      <w:r>
        <w:rPr>
          <w:b/>
          <w:color w:val="003366"/>
          <w:sz w:val="26"/>
        </w:rPr>
        <w:t>About CINI</w:t>
      </w:r>
    </w:p>
    <w:p w14:paraId="46364F4A" w14:textId="77777777" w:rsidR="00C70C20" w:rsidRDefault="00000000">
      <w:pPr>
        <w:spacing w:after="280"/>
        <w:jc w:val="both"/>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 xml:space="preserve">Today, CINI reaches over 10 million vulnerable people across rural and urban communities in West Bengal, Jharkhand, Odisha, Assam, Tripura, Madhya Pradesh, and Bihar. Our efforts have earned widespread recognition over the years. Most recently, CINI has been </w:t>
      </w:r>
      <w:proofErr w:type="spellStart"/>
      <w:r>
        <w:t>honoured</w:t>
      </w:r>
      <w:proofErr w:type="spellEnd"/>
      <w:r>
        <w:t xml:space="preserve"> with the Most Impactful NGO of the Year – 2025 in Healthcare at the Indian CSR Awards 2025, adding to a long list of accolades. Among the most distinguished is the National Award for Child Welfare, conferred twice by the President of India in 1985 and 2004. These </w:t>
      </w:r>
      <w:proofErr w:type="spellStart"/>
      <w:r>
        <w:t>honours</w:t>
      </w:r>
      <w:proofErr w:type="spellEnd"/>
      <w:r>
        <w:t xml:space="preserve"> reflect CINI’s enduring commitment to ensuring equitable access to health, nutrition, education, and protection for vulnerable </w:t>
      </w:r>
      <w:r>
        <w:lastRenderedPageBreak/>
        <w:t>communities.</w:t>
      </w:r>
      <w:r>
        <w:br/>
      </w:r>
      <w:r>
        <w:br/>
        <w:t>CINI is looking for passionate and committed individuals who are driven to make a meaningful difference in the lives of underprivileged children and communities.</w:t>
      </w:r>
    </w:p>
    <w:p w14:paraId="2C8CA55F" w14:textId="77777777" w:rsidR="00C70C20" w:rsidRDefault="00000000">
      <w:pPr>
        <w:pBdr>
          <w:bottom w:val="single" w:sz="6" w:space="4" w:color="CCCCCC"/>
        </w:pBdr>
        <w:spacing w:before="240" w:after="120"/>
      </w:pPr>
      <w:r>
        <w:rPr>
          <w:b/>
          <w:color w:val="003366"/>
          <w:sz w:val="26"/>
        </w:rPr>
        <w:t>Job Description</w:t>
      </w:r>
    </w:p>
    <w:p w14:paraId="2AB0FF09" w14:textId="77777777" w:rsidR="00C70C20" w:rsidRDefault="00000000">
      <w:r>
        <w:t>The Learning Facilitator will operate at the grassroots level to manage community-level platforms, deliver remedial educational support, and foster youth agency within their assigned Panchayat:</w:t>
      </w:r>
    </w:p>
    <w:p w14:paraId="6334C7B8" w14:textId="77777777" w:rsidR="00C70C20" w:rsidRDefault="00000000">
      <w:pPr>
        <w:pStyle w:val="ListBullet"/>
        <w:spacing w:after="80"/>
      </w:pPr>
      <w:r>
        <w:rPr>
          <w:b/>
          <w:color w:val="003366"/>
        </w:rPr>
        <w:t xml:space="preserve">Learning Center Operations: </w:t>
      </w:r>
      <w:r>
        <w:t>Establish and manage 1 Panchayat-level Community Learning Center to provide structured academic assistance and bridge foundational learning gaps for adolescent girls.</w:t>
      </w:r>
    </w:p>
    <w:p w14:paraId="7ADEDAAC" w14:textId="77777777" w:rsidR="00C70C20" w:rsidRDefault="00000000">
      <w:pPr>
        <w:pStyle w:val="ListBullet"/>
        <w:spacing w:after="80"/>
      </w:pPr>
      <w:r>
        <w:rPr>
          <w:b/>
          <w:color w:val="003366"/>
        </w:rPr>
        <w:t xml:space="preserve">Classroom &amp; Community Session Delivery: </w:t>
      </w:r>
      <w:r>
        <w:t>Deliver community-level and classroom sessions focused on life skills, reproductive health, and employability education, co-facilitating alongside trained Peer Educators.</w:t>
      </w:r>
    </w:p>
    <w:p w14:paraId="5277E9DA" w14:textId="77777777" w:rsidR="00C70C20" w:rsidRDefault="00000000">
      <w:pPr>
        <w:pStyle w:val="ListBullet"/>
        <w:spacing w:after="80"/>
      </w:pPr>
      <w:r>
        <w:rPr>
          <w:b/>
          <w:color w:val="003366"/>
        </w:rPr>
        <w:t xml:space="preserve">Peer Mentor Handholding: </w:t>
      </w:r>
      <w:r>
        <w:t>Select, orient, and actively handhold 2 Peer Educators per intensive intervention village to drive community-level tracking and mobilization cycles.</w:t>
      </w:r>
    </w:p>
    <w:p w14:paraId="5D53234A" w14:textId="77777777" w:rsidR="00C70C20" w:rsidRDefault="00000000">
      <w:pPr>
        <w:pStyle w:val="ListBullet"/>
        <w:spacing w:after="80"/>
      </w:pPr>
      <w:r>
        <w:rPr>
          <w:b/>
          <w:color w:val="003366"/>
        </w:rPr>
        <w:t xml:space="preserve">Outreach &amp; Last-Mile Delivery: </w:t>
      </w:r>
      <w:r>
        <w:t>Conducted focused outreach targeted at girls who are irregular or out-of-school/college, ensuring deep engagement with Particularly Vulnerable Tribal Groups (PVTGs).</w:t>
      </w:r>
    </w:p>
    <w:p w14:paraId="597DB894" w14:textId="77777777" w:rsidR="00C70C20" w:rsidRDefault="00000000">
      <w:pPr>
        <w:pStyle w:val="ListBullet"/>
        <w:spacing w:after="80"/>
      </w:pPr>
      <w:r>
        <w:rPr>
          <w:b/>
          <w:color w:val="003366"/>
        </w:rPr>
        <w:t xml:space="preserve">Livelihood &amp; Scheme Tracking: </w:t>
      </w:r>
      <w:r>
        <w:t>Utilize the localized scheme compendium to link eligible adolescent girls and families to welfare scholarships, safety nets, and neighboring vocational/skilling courses.</w:t>
      </w:r>
    </w:p>
    <w:p w14:paraId="471EF8C8" w14:textId="77777777" w:rsidR="00C70C20" w:rsidRDefault="00000000">
      <w:pPr>
        <w:pBdr>
          <w:bottom w:val="single" w:sz="6" w:space="4" w:color="CCCCCC"/>
        </w:pBdr>
        <w:spacing w:before="240" w:after="120"/>
      </w:pPr>
      <w:r>
        <w:rPr>
          <w:b/>
          <w:color w:val="003366"/>
          <w:sz w:val="26"/>
        </w:rPr>
        <w:t>Educational Qualification &amp; Experience</w:t>
      </w:r>
    </w:p>
    <w:p w14:paraId="0A3AE388" w14:textId="3EE0BE0F" w:rsidR="00C70C20" w:rsidRDefault="00000000">
      <w:pPr>
        <w:pStyle w:val="ListBullet"/>
        <w:spacing w:after="80"/>
      </w:pPr>
      <w:r>
        <w:rPr>
          <w:b/>
          <w:color w:val="003366"/>
        </w:rPr>
        <w:t xml:space="preserve">Essential Qualification: </w:t>
      </w:r>
      <w:r>
        <w:t>Graduate degree (B.A., B.Sc.,) or higher in Social Sciences, Education, Social Work, or a related field. Higher secondary candidates with exceptional field experience may be evaluated.</w:t>
      </w:r>
    </w:p>
    <w:p w14:paraId="103787D7" w14:textId="77777777" w:rsidR="00C70C20" w:rsidRDefault="00000000">
      <w:pPr>
        <w:pStyle w:val="ListBullet"/>
        <w:spacing w:after="80"/>
      </w:pPr>
      <w:r>
        <w:rPr>
          <w:b/>
          <w:color w:val="003366"/>
        </w:rPr>
        <w:t xml:space="preserve">Experience: </w:t>
      </w:r>
      <w:r>
        <w:t>1 to 2 years of grassroots experience in community teaching, educational tutoring, non-formal teaching centers, or managing rural child/youth development activities.</w:t>
      </w:r>
    </w:p>
    <w:p w14:paraId="3D62F5C2" w14:textId="77777777" w:rsidR="00C70C20" w:rsidRDefault="00000000">
      <w:pPr>
        <w:pStyle w:val="ListBullet"/>
        <w:spacing w:after="80"/>
      </w:pPr>
      <w:r>
        <w:rPr>
          <w:b/>
          <w:color w:val="003366"/>
        </w:rPr>
        <w:t xml:space="preserve">Local Context: </w:t>
      </w:r>
      <w:r>
        <w:t xml:space="preserve">Must be a resident of or have strong familiarity with the target Panchayats within </w:t>
      </w:r>
      <w:proofErr w:type="spellStart"/>
      <w:r>
        <w:t>Dhalai</w:t>
      </w:r>
      <w:proofErr w:type="spellEnd"/>
      <w:r>
        <w:t xml:space="preserve">, North Tripura, </w:t>
      </w:r>
      <w:proofErr w:type="spellStart"/>
      <w:r>
        <w:t>Khowai</w:t>
      </w:r>
      <w:proofErr w:type="spellEnd"/>
      <w:r>
        <w:t>, or Gomati districts.</w:t>
      </w:r>
    </w:p>
    <w:p w14:paraId="187AE53A" w14:textId="77777777" w:rsidR="00C70C20" w:rsidRDefault="00000000">
      <w:pPr>
        <w:pBdr>
          <w:bottom w:val="single" w:sz="6" w:space="4" w:color="CCCCCC"/>
        </w:pBdr>
        <w:spacing w:before="240" w:after="120"/>
      </w:pPr>
      <w:r>
        <w:rPr>
          <w:b/>
          <w:color w:val="003366"/>
          <w:sz w:val="26"/>
        </w:rPr>
        <w:t>Desired Competencies</w:t>
      </w:r>
    </w:p>
    <w:p w14:paraId="3DB89C11" w14:textId="49B1E3C4" w:rsidR="00C70C20" w:rsidRDefault="00000000">
      <w:pPr>
        <w:pStyle w:val="ListBullet"/>
        <w:spacing w:after="80"/>
      </w:pPr>
      <w:r>
        <w:t>Fluency in Bengali; ability to interact comfortably in local languages or tribal dialects of Tripura is highly preferred.</w:t>
      </w:r>
    </w:p>
    <w:p w14:paraId="6E480247" w14:textId="77777777" w:rsidR="00C70C20" w:rsidRDefault="00000000">
      <w:pPr>
        <w:pStyle w:val="ListBullet"/>
        <w:spacing w:after="80"/>
      </w:pPr>
      <w:r>
        <w:t>Strong interpersonal skills to bond with parents, caregivers, and community-level networks.</w:t>
      </w:r>
    </w:p>
    <w:p w14:paraId="5B8C5048" w14:textId="77777777" w:rsidR="00C70C20" w:rsidRDefault="00000000">
      <w:pPr>
        <w:pStyle w:val="ListBullet"/>
        <w:spacing w:after="80"/>
      </w:pPr>
      <w:r>
        <w:t>Basic capability to document participant attendance grids, baseline checklists, and field activity logs.</w:t>
      </w:r>
    </w:p>
    <w:p w14:paraId="3DC54D5E" w14:textId="77777777" w:rsidR="00291548" w:rsidRDefault="00291548">
      <w:pPr>
        <w:pBdr>
          <w:bottom w:val="single" w:sz="6" w:space="4" w:color="CCCCCC"/>
        </w:pBdr>
        <w:spacing w:before="240" w:after="120"/>
        <w:rPr>
          <w:b/>
          <w:color w:val="003366"/>
          <w:sz w:val="26"/>
        </w:rPr>
      </w:pPr>
    </w:p>
    <w:p w14:paraId="119F536B" w14:textId="77777777" w:rsidR="00291548" w:rsidRDefault="00291548">
      <w:pPr>
        <w:pBdr>
          <w:bottom w:val="single" w:sz="6" w:space="4" w:color="CCCCCC"/>
        </w:pBdr>
        <w:spacing w:before="240" w:after="120"/>
        <w:rPr>
          <w:b/>
          <w:color w:val="003366"/>
          <w:sz w:val="26"/>
        </w:rPr>
      </w:pPr>
    </w:p>
    <w:p w14:paraId="30F0C8FA" w14:textId="5535F25A" w:rsidR="00C70C20" w:rsidRDefault="00000000">
      <w:pPr>
        <w:pBdr>
          <w:bottom w:val="single" w:sz="6" w:space="4" w:color="CCCCCC"/>
        </w:pBdr>
        <w:spacing w:before="240" w:after="120"/>
      </w:pPr>
      <w:r>
        <w:rPr>
          <w:b/>
          <w:color w:val="003366"/>
          <w:sz w:val="26"/>
        </w:rPr>
        <w:lastRenderedPageBreak/>
        <w:t>How to Apply</w:t>
      </w:r>
    </w:p>
    <w:p w14:paraId="205AEB19" w14:textId="0391316C" w:rsidR="00C70C20" w:rsidRDefault="00000000">
      <w:pPr>
        <w:spacing w:after="240"/>
      </w:pPr>
      <w:r>
        <w:t xml:space="preserve">Interested candidates are requested to apply on or before </w:t>
      </w:r>
      <w:r w:rsidR="00191099">
        <w:rPr>
          <w:b/>
        </w:rPr>
        <w:t>16</w:t>
      </w:r>
      <w:r>
        <w:rPr>
          <w:b/>
        </w:rPr>
        <w:t>th June 2026</w:t>
      </w:r>
      <w:r>
        <w:t xml:space="preserve">. Please send an email to </w:t>
      </w:r>
      <w:hyperlink r:id="rId6" w:history="1">
        <w:r w:rsidR="00291548" w:rsidRPr="00AF4F25">
          <w:rPr>
            <w:rStyle w:val="Hyperlink"/>
            <w:b/>
          </w:rPr>
          <w:t>barnasrita@cinindia.org</w:t>
        </w:r>
      </w:hyperlink>
      <w:r w:rsidR="00291548">
        <w:rPr>
          <w:b/>
          <w:color w:val="003366"/>
        </w:rPr>
        <w:t xml:space="preserve"> </w:t>
      </w:r>
      <w:r>
        <w:t xml:space="preserve">with the subject line </w:t>
      </w:r>
      <w:r>
        <w:rPr>
          <w:b/>
        </w:rPr>
        <w:t>"Application for the post of Learning Facilitator - Tripura"</w:t>
      </w:r>
    </w:p>
    <w:p w14:paraId="5AF9F479" w14:textId="77777777" w:rsidR="00C70C20" w:rsidRDefault="00000000">
      <w:pPr>
        <w:spacing w:after="120"/>
      </w:pPr>
      <w:r>
        <w:rPr>
          <w:b/>
          <w:color w:val="003366"/>
        </w:rPr>
        <w:t>Equal Opportunity Statement</w:t>
      </w:r>
      <w:r>
        <w:rPr>
          <w:b/>
          <w:color w:val="003366"/>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4224B05B" w14:textId="77777777" w:rsidR="00C70C20"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C70C2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6390567">
    <w:abstractNumId w:val="8"/>
  </w:num>
  <w:num w:numId="2" w16cid:durableId="755519555">
    <w:abstractNumId w:val="6"/>
  </w:num>
  <w:num w:numId="3" w16cid:durableId="1800370815">
    <w:abstractNumId w:val="5"/>
  </w:num>
  <w:num w:numId="4" w16cid:durableId="896357592">
    <w:abstractNumId w:val="4"/>
  </w:num>
  <w:num w:numId="5" w16cid:durableId="1378817557">
    <w:abstractNumId w:val="7"/>
  </w:num>
  <w:num w:numId="6" w16cid:durableId="91782774">
    <w:abstractNumId w:val="3"/>
  </w:num>
  <w:num w:numId="7" w16cid:durableId="1792287192">
    <w:abstractNumId w:val="2"/>
  </w:num>
  <w:num w:numId="8" w16cid:durableId="374618807">
    <w:abstractNumId w:val="1"/>
  </w:num>
  <w:num w:numId="9" w16cid:durableId="68432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1099"/>
    <w:rsid w:val="00291548"/>
    <w:rsid w:val="0029639D"/>
    <w:rsid w:val="00326F90"/>
    <w:rsid w:val="009D7918"/>
    <w:rsid w:val="00AA1D8D"/>
    <w:rsid w:val="00B47730"/>
    <w:rsid w:val="00C70C20"/>
    <w:rsid w:val="00CB0664"/>
    <w:rsid w:val="00CD4E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FC4CC"/>
  <w14:defaultImageDpi w14:val="300"/>
  <w15:docId w15:val="{4AF1132A-6F79-4A61-90D8-034DF563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1548"/>
    <w:rPr>
      <w:color w:val="0000FF" w:themeColor="hyperlink"/>
      <w:u w:val="single"/>
    </w:rPr>
  </w:style>
  <w:style w:type="character" w:styleId="UnresolvedMention">
    <w:name w:val="Unresolved Mention"/>
    <w:basedOn w:val="DefaultParagraphFont"/>
    <w:uiPriority w:val="99"/>
    <w:semiHidden/>
    <w:unhideWhenUsed/>
    <w:rsid w:val="0029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srita@cinindi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3</cp:revision>
  <dcterms:created xsi:type="dcterms:W3CDTF">2013-12-23T23:15:00Z</dcterms:created>
  <dcterms:modified xsi:type="dcterms:W3CDTF">2026-06-04T06:35:00Z</dcterms:modified>
  <cp:category/>
</cp:coreProperties>
</file>